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III: Account Transactions</w:t>
      </w:r>
    </w:p>
    <w:p>
      <w:pPr>
        <w:pStyle w:val="BodyText"/>
        <w:spacing w:before="3"/>
        <w:rPr>
          <w:b/>
          <w:sz w:val="34"/>
        </w:rPr>
      </w:pPr>
    </w:p>
    <w:p>
      <w:pPr>
        <w:pStyle w:val="BodyText"/>
        <w:spacing w:line="312" w:lineRule="auto" w:before="1"/>
        <w:ind w:left="110" w:right="594"/>
      </w:pPr>
      <w:r>
        <w:rPr>
          <w:w w:val="105"/>
        </w:rPr>
        <w:t>This</w:t>
      </w:r>
      <w:r>
        <w:rPr>
          <w:spacing w:val="-8"/>
          <w:w w:val="105"/>
        </w:rPr>
        <w:t> </w:t>
      </w:r>
      <w:r>
        <w:rPr>
          <w:w w:val="105"/>
        </w:rPr>
        <w:t>section</w:t>
      </w:r>
      <w:r>
        <w:rPr>
          <w:spacing w:val="-3"/>
          <w:w w:val="105"/>
        </w:rPr>
        <w:t> </w:t>
      </w:r>
      <w:r>
        <w:rPr>
          <w:w w:val="105"/>
        </w:rPr>
        <w:t>provides</w:t>
      </w:r>
      <w:r>
        <w:rPr>
          <w:spacing w:val="-2"/>
          <w:w w:val="105"/>
        </w:rPr>
        <w:t> </w:t>
      </w:r>
      <w:r>
        <w:rPr>
          <w:w w:val="105"/>
        </w:rPr>
        <w:t>accounting</w:t>
      </w:r>
      <w:r>
        <w:rPr>
          <w:spacing w:val="-10"/>
          <w:w w:val="105"/>
        </w:rPr>
        <w:t> </w:t>
      </w:r>
      <w:r>
        <w:rPr>
          <w:w w:val="105"/>
        </w:rPr>
        <w:t>transactions</w:t>
      </w:r>
      <w:r>
        <w:rPr>
          <w:spacing w:val="-1"/>
          <w:w w:val="105"/>
        </w:rPr>
        <w:t> </w:t>
      </w:r>
      <w:r>
        <w:rPr>
          <w:w w:val="105"/>
        </w:rPr>
        <w:t>for</w:t>
      </w:r>
      <w:r>
        <w:rPr>
          <w:spacing w:val="-3"/>
          <w:w w:val="105"/>
        </w:rPr>
        <w:t> </w:t>
      </w:r>
      <w:r>
        <w:rPr>
          <w:w w:val="105"/>
        </w:rPr>
        <w:t>events</w:t>
      </w:r>
      <w:r>
        <w:rPr>
          <w:spacing w:val="-4"/>
          <w:w w:val="105"/>
        </w:rPr>
        <w:t> </w:t>
      </w:r>
      <w:r>
        <w:rPr>
          <w:w w:val="105"/>
        </w:rPr>
        <w:t>occurring</w:t>
      </w:r>
      <w:r>
        <w:rPr>
          <w:spacing w:val="-6"/>
          <w:w w:val="105"/>
        </w:rPr>
        <w:t> </w:t>
      </w:r>
      <w:r>
        <w:rPr>
          <w:w w:val="105"/>
        </w:rPr>
        <w:t>throughout</w:t>
      </w:r>
      <w:r>
        <w:rPr>
          <w:spacing w:val="-3"/>
          <w:w w:val="105"/>
        </w:rPr>
        <w:t> </w:t>
      </w:r>
      <w:r>
        <w:rPr>
          <w:w w:val="105"/>
        </w:rPr>
        <w:t>the</w:t>
      </w:r>
      <w:r>
        <w:rPr>
          <w:spacing w:val="-1"/>
          <w:w w:val="105"/>
        </w:rPr>
        <w:t> </w:t>
      </w:r>
      <w:r>
        <w:rPr>
          <w:w w:val="105"/>
        </w:rPr>
        <w:t>federal</w:t>
      </w:r>
      <w:r>
        <w:rPr>
          <w:spacing w:val="-9"/>
          <w:w w:val="105"/>
        </w:rPr>
        <w:t> </w:t>
      </w:r>
      <w:r>
        <w:rPr>
          <w:w w:val="105"/>
        </w:rPr>
        <w:t>government.</w:t>
      </w:r>
      <w:r>
        <w:rPr>
          <w:spacing w:val="-4"/>
          <w:w w:val="105"/>
        </w:rPr>
        <w:t> </w:t>
      </w:r>
      <w:r>
        <w:rPr>
          <w:w w:val="105"/>
        </w:rPr>
        <w:t>The transactions illustrate both proprietary and budgetary entries for each accounting event. Transactions are grouped under the following</w:t>
      </w:r>
      <w:r>
        <w:rPr>
          <w:spacing w:val="-7"/>
          <w:w w:val="105"/>
        </w:rPr>
        <w:t> </w:t>
      </w:r>
      <w:r>
        <w:rPr>
          <w:w w:val="105"/>
        </w:rPr>
        <w:t>categories:</w:t>
      </w:r>
    </w:p>
    <w:p>
      <w:pPr>
        <w:pStyle w:val="BodyText"/>
        <w:spacing w:before="4"/>
        <w:rPr>
          <w:sz w:val="26"/>
        </w:rPr>
      </w:pPr>
    </w:p>
    <w:p>
      <w:pPr>
        <w:tabs>
          <w:tab w:pos="2075" w:val="left" w:leader="none"/>
        </w:tabs>
        <w:spacing w:before="0"/>
        <w:ind w:left="350" w:right="0" w:firstLine="0"/>
        <w:jc w:val="left"/>
        <w:rPr>
          <w:sz w:val="19"/>
        </w:rPr>
      </w:pPr>
      <w:r>
        <w:rPr>
          <w:b/>
          <w:w w:val="105"/>
          <w:sz w:val="19"/>
        </w:rPr>
        <w:t>A</w:t>
      </w:r>
      <w:r>
        <w:rPr>
          <w:b/>
          <w:spacing w:val="9"/>
          <w:w w:val="105"/>
          <w:sz w:val="19"/>
        </w:rPr>
        <w:t> </w:t>
      </w:r>
      <w:r>
        <w:rPr>
          <w:b/>
          <w:w w:val="105"/>
          <w:sz w:val="19"/>
        </w:rPr>
        <w:t>100-799</w:t>
        <w:tab/>
      </w:r>
      <w:r>
        <w:rPr>
          <w:sz w:val="19"/>
        </w:rPr>
        <w:t>Funding</w:t>
      </w:r>
      <w:r>
        <w:rPr>
          <w:spacing w:val="36"/>
          <w:sz w:val="19"/>
        </w:rPr>
        <w:t> </w:t>
      </w:r>
      <w:r>
        <w:rPr>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9"/>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9"/>
          <w:w w:val="105"/>
          <w:sz w:val="19"/>
        </w:rPr>
        <w:t> </w:t>
      </w:r>
      <w:r>
        <w:rPr>
          <w:b/>
          <w:w w:val="105"/>
          <w:sz w:val="19"/>
        </w:rPr>
        <w:t>100-799</w:t>
        <w:tab/>
      </w:r>
      <w:r>
        <w:rPr>
          <w:w w:val="105"/>
          <w:sz w:val="19"/>
        </w:rPr>
        <w:t>Collections and</w:t>
      </w:r>
      <w:r>
        <w:rPr>
          <w:spacing w:val="17"/>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9"/>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91" w:right="2662" w:hanging="1742"/>
      </w:pPr>
      <w:r>
        <w:rPr>
          <w:b/>
          <w:w w:val="105"/>
        </w:rPr>
        <w:t>E</w:t>
      </w:r>
      <w:r>
        <w:rPr>
          <w:b/>
          <w:spacing w:val="5"/>
          <w:w w:val="105"/>
        </w:rPr>
        <w:t> </w:t>
      </w:r>
      <w:r>
        <w:rPr>
          <w:b/>
          <w:w w:val="105"/>
        </w:rPr>
        <w:t>100-799</w:t>
        <w:tab/>
      </w:r>
      <w:r>
        <w:rPr>
          <w:w w:val="105"/>
        </w:rPr>
        <w:t>Accruals/Non-Budgetary</w:t>
      </w:r>
      <w:r>
        <w:rPr>
          <w:spacing w:val="-13"/>
          <w:w w:val="105"/>
        </w:rPr>
        <w:t> </w:t>
      </w:r>
      <w:r>
        <w:rPr>
          <w:w w:val="105"/>
        </w:rPr>
        <w:t>Transfers</w:t>
      </w:r>
      <w:r>
        <w:rPr>
          <w:spacing w:val="-18"/>
          <w:w w:val="105"/>
        </w:rPr>
        <w:t> </w:t>
      </w:r>
      <w:r>
        <w:rPr>
          <w:w w:val="105"/>
        </w:rPr>
        <w:t>Other</w:t>
      </w:r>
      <w:r>
        <w:rPr>
          <w:spacing w:val="-16"/>
          <w:w w:val="105"/>
        </w:rPr>
        <w:t> </w:t>
      </w:r>
      <w:r>
        <w:rPr>
          <w:w w:val="105"/>
        </w:rPr>
        <w:t>Than</w:t>
      </w:r>
      <w:r>
        <w:rPr>
          <w:spacing w:val="-16"/>
          <w:w w:val="105"/>
        </w:rPr>
        <w:t> </w:t>
      </w:r>
      <w:r>
        <w:rPr>
          <w:w w:val="105"/>
        </w:rPr>
        <w:t>Disbursements and</w:t>
      </w:r>
      <w:r>
        <w:rPr>
          <w:spacing w:val="7"/>
          <w:w w:val="105"/>
        </w:rPr>
        <w:t> </w:t>
      </w:r>
      <w:r>
        <w:rPr>
          <w:w w:val="105"/>
        </w:rPr>
        <w:t>Collections</w:t>
      </w:r>
    </w:p>
    <w:p>
      <w:pPr>
        <w:pStyle w:val="BodyText"/>
        <w:spacing w:before="3"/>
        <w:rPr>
          <w:sz w:val="26"/>
        </w:rPr>
      </w:pPr>
    </w:p>
    <w:p>
      <w:pPr>
        <w:tabs>
          <w:tab w:pos="2045" w:val="left" w:leader="none"/>
        </w:tabs>
        <w:spacing w:before="0"/>
        <w:ind w:left="350" w:right="0" w:firstLine="0"/>
        <w:jc w:val="left"/>
        <w:rPr>
          <w:sz w:val="19"/>
        </w:rPr>
      </w:pPr>
      <w:r>
        <w:rPr>
          <w:b/>
          <w:w w:val="105"/>
          <w:sz w:val="19"/>
        </w:rPr>
        <w:t>F</w:t>
      </w:r>
      <w:r>
        <w:rPr>
          <w:b/>
          <w:spacing w:val="2"/>
          <w:w w:val="105"/>
          <w:sz w:val="19"/>
        </w:rPr>
        <w:t> </w:t>
      </w:r>
      <w:r>
        <w:rPr>
          <w:b/>
          <w:w w:val="105"/>
          <w:sz w:val="19"/>
        </w:rPr>
        <w:t>100-499</w:t>
        <w:tab/>
      </w:r>
      <w:r>
        <w:rPr>
          <w:w w:val="105"/>
          <w:sz w:val="19"/>
        </w:rPr>
        <w:t>Year-end</w:t>
      </w:r>
    </w:p>
    <w:p>
      <w:pPr>
        <w:pStyle w:val="BodyText"/>
        <w:spacing w:before="10"/>
        <w:rPr>
          <w:sz w:val="31"/>
        </w:rPr>
      </w:pPr>
    </w:p>
    <w:p>
      <w:pPr>
        <w:tabs>
          <w:tab w:pos="2030" w:val="left" w:leader="none"/>
        </w:tabs>
        <w:spacing w:before="0"/>
        <w:ind w:left="350" w:right="0" w:firstLine="0"/>
        <w:jc w:val="left"/>
        <w:rPr>
          <w:sz w:val="19"/>
        </w:rPr>
      </w:pPr>
      <w:r>
        <w:rPr>
          <w:b/>
          <w:w w:val="105"/>
          <w:sz w:val="19"/>
        </w:rPr>
        <w:t>G</w:t>
      </w:r>
      <w:r>
        <w:rPr>
          <w:b/>
          <w:spacing w:val="13"/>
          <w:w w:val="105"/>
          <w:sz w:val="19"/>
        </w:rPr>
        <w:t> </w:t>
      </w:r>
      <w:r>
        <w:rPr>
          <w:b/>
          <w:w w:val="105"/>
          <w:sz w:val="19"/>
        </w:rPr>
        <w:t>100-299</w:t>
        <w:tab/>
      </w:r>
      <w:r>
        <w:rPr>
          <w:w w:val="105"/>
          <w:sz w:val="19"/>
        </w:rPr>
        <w:t>Memorandum</w:t>
      </w:r>
      <w:r>
        <w:rPr>
          <w:spacing w:val="16"/>
          <w:w w:val="105"/>
          <w:sz w:val="19"/>
        </w:rPr>
        <w:t> </w:t>
      </w:r>
      <w:r>
        <w:rPr>
          <w:w w:val="105"/>
          <w:sz w:val="19"/>
        </w:rPr>
        <w:t>Entries</w:t>
      </w:r>
    </w:p>
    <w:p>
      <w:pPr>
        <w:pStyle w:val="BodyText"/>
        <w:spacing w:before="10"/>
        <w:rPr>
          <w:sz w:val="31"/>
        </w:rPr>
      </w:pPr>
    </w:p>
    <w:p>
      <w:pPr>
        <w:tabs>
          <w:tab w:pos="2015" w:val="left" w:leader="none"/>
        </w:tabs>
        <w:spacing w:before="0"/>
        <w:ind w:left="350" w:right="0" w:firstLine="0"/>
        <w:jc w:val="left"/>
        <w:rPr>
          <w:sz w:val="19"/>
        </w:rPr>
      </w:pPr>
      <w:r>
        <w:rPr>
          <w:b/>
          <w:w w:val="105"/>
          <w:sz w:val="19"/>
        </w:rPr>
        <w:t>H</w:t>
      </w:r>
      <w:r>
        <w:rPr>
          <w:b/>
          <w:spacing w:val="9"/>
          <w:w w:val="105"/>
          <w:sz w:val="19"/>
        </w:rPr>
        <w:t> </w:t>
      </w:r>
      <w:r>
        <w:rPr>
          <w:b/>
          <w:w w:val="105"/>
          <w:sz w:val="19"/>
        </w:rPr>
        <w:t>100-799</w:t>
        <w:tab/>
      </w:r>
      <w:r>
        <w:rPr>
          <w:w w:val="105"/>
          <w:sz w:val="19"/>
        </w:rPr>
        <w:t>Other Specialized Transaction</w:t>
      </w:r>
      <w:r>
        <w:rPr>
          <w:spacing w:val="26"/>
          <w:w w:val="105"/>
          <w:sz w:val="19"/>
        </w:rPr>
        <w:t> </w:t>
      </w:r>
      <w:r>
        <w:rPr>
          <w:w w:val="105"/>
          <w:sz w:val="19"/>
        </w:rPr>
        <w:t>Entries</w:t>
      </w:r>
    </w:p>
    <w:p>
      <w:pPr>
        <w:pStyle w:val="BodyText"/>
        <w:spacing w:before="10"/>
        <w:rPr>
          <w:sz w:val="31"/>
        </w:rPr>
      </w:pPr>
    </w:p>
    <w:p>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594"/>
      </w:pPr>
      <w:r>
        <w:rPr>
          <w:w w:val="105"/>
        </w:rPr>
        <w:t>The following notes explain conventions to follow when using the USSGL and the limitations of this compilation of USSGL transactions:</w:t>
      </w:r>
    </w:p>
    <w:p>
      <w:pPr>
        <w:pStyle w:val="BodyText"/>
        <w:spacing w:before="8"/>
        <w:rPr>
          <w:sz w:val="17"/>
        </w:rPr>
      </w:pPr>
    </w:p>
    <w:p>
      <w:pPr>
        <w:pStyle w:val="BodyText"/>
        <w:spacing w:line="312" w:lineRule="auto" w:before="98"/>
        <w:ind w:left="1160" w:right="594"/>
      </w:pPr>
      <w:r>
        <w:rPr/>
        <w:pict>
          <v:shape style="position:absolute;margin-left:110.500008pt;margin-top:10.060879pt;width:3pt;height:3pt;mso-position-horizontal-relative:page;mso-position-vertical-relative:paragraph;z-index:1024" coordorigin="2210,201" coordsize="60,60" path="m2270,201l2210,201,2210,216,2210,246,2210,261,2270,261,2270,246,2270,216,2270,201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2"/>
        <w:rPr>
          <w:sz w:val="18"/>
        </w:rPr>
      </w:pPr>
    </w:p>
    <w:p>
      <w:pPr>
        <w:pStyle w:val="BodyText"/>
        <w:spacing w:line="312" w:lineRule="auto" w:before="98"/>
        <w:ind w:left="1160" w:right="602"/>
      </w:pPr>
      <w:r>
        <w:rPr/>
        <w:pict>
          <v:shape style="position:absolute;margin-left:110.500008pt;margin-top:10.060884pt;width:3pt;height:3pt;mso-position-horizontal-relative:page;mso-position-vertical-relative:paragraph;z-index:1048" coordorigin="2210,201" coordsize="60,60" path="m2270,201l2210,201,2210,216,2210,246,2210,261,2270,261,2270,246,2270,216,2270,201e" filled="true" fillcolor="#000000" stroked="false">
            <v:path arrowok="t"/>
            <v:fill type="solid"/>
            <w10:wrap type="none"/>
          </v:shape>
        </w:pict>
      </w:r>
      <w:r>
        <w:rPr>
          <w:w w:val="105"/>
        </w:rPr>
        <w:t>For</w:t>
      </w:r>
      <w:r>
        <w:rPr>
          <w:spacing w:val="-5"/>
          <w:w w:val="105"/>
        </w:rPr>
        <w:t> </w:t>
      </w:r>
      <w:r>
        <w:rPr>
          <w:w w:val="105"/>
        </w:rPr>
        <w:t>deposit</w:t>
      </w:r>
      <w:r>
        <w:rPr>
          <w:spacing w:val="-9"/>
          <w:w w:val="105"/>
        </w:rPr>
        <w:t> </w:t>
      </w:r>
      <w:r>
        <w:rPr>
          <w:w w:val="105"/>
        </w:rPr>
        <w:t>funds,</w:t>
      </w:r>
      <w:r>
        <w:rPr>
          <w:spacing w:val="-2"/>
          <w:w w:val="105"/>
        </w:rPr>
        <w:t> </w:t>
      </w:r>
      <w:r>
        <w:rPr>
          <w:w w:val="105"/>
        </w:rPr>
        <w:t>there</w:t>
      </w:r>
      <w:r>
        <w:rPr>
          <w:spacing w:val="-6"/>
          <w:w w:val="105"/>
        </w:rPr>
        <w:t> </w:t>
      </w:r>
      <w:r>
        <w:rPr>
          <w:w w:val="105"/>
        </w:rPr>
        <w:t>are</w:t>
      </w:r>
      <w:r>
        <w:rPr>
          <w:spacing w:val="-7"/>
          <w:w w:val="105"/>
        </w:rPr>
        <w:t> </w:t>
      </w:r>
      <w:r>
        <w:rPr>
          <w:w w:val="105"/>
        </w:rPr>
        <w:t>valid</w:t>
      </w:r>
      <w:r>
        <w:rPr>
          <w:spacing w:val="-7"/>
          <w:w w:val="105"/>
        </w:rPr>
        <w:t> </w:t>
      </w:r>
      <w:r>
        <w:rPr>
          <w:w w:val="105"/>
        </w:rPr>
        <w:t>accounting</w:t>
      </w:r>
      <w:r>
        <w:rPr>
          <w:spacing w:val="-8"/>
          <w:w w:val="105"/>
        </w:rPr>
        <w:t> </w:t>
      </w:r>
      <w:r>
        <w:rPr>
          <w:w w:val="105"/>
        </w:rPr>
        <w:t>postings</w:t>
      </w:r>
      <w:r>
        <w:rPr>
          <w:spacing w:val="-3"/>
          <w:w w:val="105"/>
        </w:rPr>
        <w:t> </w:t>
      </w:r>
      <w:r>
        <w:rPr>
          <w:w w:val="105"/>
        </w:rPr>
        <w:t>not</w:t>
      </w:r>
      <w:r>
        <w:rPr>
          <w:spacing w:val="1"/>
          <w:w w:val="105"/>
        </w:rPr>
        <w:t> </w:t>
      </w:r>
      <w:r>
        <w:rPr>
          <w:w w:val="105"/>
        </w:rPr>
        <w:t>yet</w:t>
      </w:r>
      <w:r>
        <w:rPr>
          <w:spacing w:val="-1"/>
          <w:w w:val="105"/>
        </w:rPr>
        <w:t> </w:t>
      </w:r>
      <w:r>
        <w:rPr>
          <w:w w:val="105"/>
        </w:rPr>
        <w:t>documented.</w:t>
      </w:r>
      <w:r>
        <w:rPr>
          <w:spacing w:val="-1"/>
          <w:w w:val="105"/>
        </w:rPr>
        <w:t> </w:t>
      </w:r>
      <w:r>
        <w:rPr>
          <w:w w:val="105"/>
        </w:rPr>
        <w:t>When</w:t>
      </w:r>
      <w:r>
        <w:rPr>
          <w:spacing w:val="-9"/>
          <w:w w:val="105"/>
        </w:rPr>
        <w:t> </w:t>
      </w:r>
      <w:r>
        <w:rPr>
          <w:w w:val="105"/>
        </w:rPr>
        <w:t>recording</w:t>
      </w:r>
      <w:r>
        <w:rPr>
          <w:spacing w:val="-1"/>
          <w:w w:val="105"/>
        </w:rPr>
        <w:t> </w:t>
      </w:r>
      <w:r>
        <w:rPr>
          <w:w w:val="105"/>
        </w:rPr>
        <w:t>any transaction in a deposit fund, agencies should not record (a) budgetary entries or (b) entries that result in net revenues, expenses, gains, or losses in nonfiduciary deposit funds. Examples of many transactions commonly used in non-fiduciary deposit funds are provided in the</w:t>
      </w:r>
      <w:r>
        <w:rPr>
          <w:spacing w:val="-19"/>
          <w:w w:val="105"/>
        </w:rPr>
        <w:t> </w:t>
      </w:r>
      <w:r>
        <w:rPr>
          <w:w w:val="105"/>
        </w:rPr>
        <w:t>USSGL</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594" w:firstLine="0"/>
        <w:jc w:val="left"/>
        <w:rPr>
          <w:sz w:val="19"/>
        </w:rPr>
      </w:pPr>
      <w:r>
        <w:rPr>
          <w:w w:val="105"/>
          <w:sz w:val="19"/>
        </w:rPr>
        <w:t>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8"/>
        <w:rPr>
          <w:sz w:val="17"/>
        </w:rPr>
      </w:pPr>
    </w:p>
    <w:p>
      <w:pPr>
        <w:pStyle w:val="BodyText"/>
        <w:spacing w:line="312" w:lineRule="auto" w:before="99"/>
        <w:ind w:left="1160" w:right="505"/>
      </w:pPr>
      <w:r>
        <w:rPr/>
        <w:pict>
          <v:shape style="position:absolute;margin-left:110.500008pt;margin-top:10.110854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87"/>
      </w:pPr>
      <w:r>
        <w:rPr/>
        <w:pict>
          <v:shape style="position:absolute;margin-left:163.000015pt;margin-top:10.110857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594"/>
      </w:pPr>
      <w:r>
        <w:rPr/>
        <w:pict>
          <v:shape style="position:absolute;margin-left:163.000015pt;margin-top:5.310859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594"/>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4"/>
        <w:rPr>
          <w:sz w:val="16"/>
        </w:rPr>
      </w:pPr>
    </w:p>
    <w:p>
      <w:pPr>
        <w:pStyle w:val="BodyText"/>
        <w:spacing w:before="99"/>
        <w:ind w:left="1160"/>
      </w:pPr>
      <w:r>
        <w:rPr/>
        <w:pict>
          <v:shape style="position:absolute;margin-left:110.500008pt;margin-top:10.110869pt;width:3pt;height:3pt;mso-position-horizontal-relative:page;mso-position-vertical-relative:paragraph;z-index:1168" coordorigin="2210,202" coordsize="60,60" path="m2270,202l2210,202,2210,217,2210,247,2210,262,2270,262,2270,247,2270,217,2270,202e" filled="true" fillcolor="#000000" stroked="false">
            <v:path arrowok="t"/>
            <v:fill type="solid"/>
            <w10:wrap type="none"/>
          </v:shape>
        </w:pict>
      </w:r>
      <w:r>
        <w:rPr>
          <w:w w:val="105"/>
        </w:rPr>
        <w:t>Financing sources, such as Economy Act revenue, that impact cumulative results of operations.</w:t>
      </w:r>
    </w:p>
    <w:p>
      <w:pPr>
        <w:pStyle w:val="BodyText"/>
        <w:spacing w:before="10"/>
        <w:rPr>
          <w:sz w:val="31"/>
        </w:rPr>
      </w:pPr>
    </w:p>
    <w:p>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4"/>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2"/>
          <w:w w:val="105"/>
        </w:rPr>
        <w:t>6-digit </w:t>
      </w:r>
      <w:r>
        <w:rPr>
          <w:w w:val="105"/>
        </w:rPr>
        <w:t>USSGL account plus valid attribute values to fully comply with implementation of the USSGL at the transaction level and to facilitate necessary central agency reporting. Additionally, since the </w:t>
      </w:r>
      <w:r>
        <w:rPr>
          <w:spacing w:val="2"/>
          <w:w w:val="105"/>
        </w:rPr>
        <w:t>6-digit </w:t>
      </w:r>
      <w:r>
        <w:rPr>
          <w:w w:val="105"/>
        </w:rPr>
        <w:t>base account combined with valid attributes is itself a USSGL account, agencies must post debit and credit entries to reclassify balances even when the </w:t>
      </w:r>
      <w:r>
        <w:rPr>
          <w:spacing w:val="2"/>
          <w:w w:val="105"/>
        </w:rPr>
        <w:t>6-digit </w:t>
      </w:r>
      <w:r>
        <w:rPr>
          <w:w w:val="105"/>
        </w:rPr>
        <w:t>base account is the</w:t>
      </w:r>
      <w:r>
        <w:rPr>
          <w:spacing w:val="1"/>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pStyle w:val="BodyText"/>
        <w:spacing w:before="1"/>
        <w:rPr>
          <w:sz w:val="26"/>
        </w:rPr>
      </w:pPr>
    </w:p>
    <w:p>
      <w:pPr>
        <w:pStyle w:val="BodyText"/>
        <w:ind w:left="110"/>
      </w:pPr>
      <w:r>
        <w:rPr>
          <w:w w:val="105"/>
        </w:rPr>
        <w:t>A </w:t>
      </w:r>
      <w:hyperlink r:id="rId7">
        <w:r>
          <w:rPr>
            <w:b/>
            <w:color w:val="0000FF"/>
            <w:w w:val="105"/>
            <w:u w:val="single" w:color="0000FF"/>
          </w:rPr>
          <w:t>USSGL</w:t>
        </w:r>
        <w:r>
          <w:rPr>
            <w:b/>
            <w:color w:val="0000FF"/>
            <w:w w:val="105"/>
          </w:rPr>
          <w:t> </w:t>
        </w:r>
      </w:hyperlink>
      <w:r>
        <w:rPr>
          <w:w w:val="105"/>
        </w:rPr>
        <w:t>transaction crosswalk can be obtained on the TFM website.</w:t>
      </w:r>
    </w:p>
    <w:p>
      <w:pPr>
        <w:spacing w:after="0"/>
        <w:sectPr>
          <w:pgSz w:w="12240" w:h="15840"/>
          <w:pgMar w:header="0" w:footer="415" w:top="440" w:bottom="600" w:left="1260" w:right="800"/>
        </w:sectPr>
      </w:pPr>
    </w:p>
    <w:p>
      <w:pPr>
        <w:pStyle w:val="BodyText"/>
        <w:spacing w:line="312" w:lineRule="auto" w:before="71"/>
        <w:ind w:left="110" w:right="934"/>
      </w:pPr>
      <w:r>
        <w:rPr>
          <w:w w:val="105"/>
        </w:rPr>
        <w:t>The transaction reference provides an example of where this transaction appears. It may not provide all possible USSGL implementation guidance that contains this transaction.</w:t>
      </w:r>
    </w:p>
    <w:p>
      <w:pPr>
        <w:pStyle w:val="BodyText"/>
        <w:spacing w:before="9" w:after="1"/>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594"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8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312"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1"/>
                    <w:sz w:val="24"/>
                  </w:rPr>
                  <w:t> </w:t>
                </w:r>
                <w:r>
                  <w:rPr>
                    <w:rFonts w:ascii="Palatino Linotype"/>
                    <w:sz w:val="24"/>
                  </w:rPr>
                  <w:t>of</w:t>
                </w:r>
                <w:r>
                  <w:rPr>
                    <w:rFonts w:ascii="Palatino Linotype"/>
                    <w:spacing w:val="-31"/>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terms:created xsi:type="dcterms:W3CDTF">2020-05-14T10:35:03Z</dcterms:created>
  <dcterms:modified xsi:type="dcterms:W3CDTF">2020-05-14T10:35:03Z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